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附件</w:t>
      </w:r>
      <w:r>
        <w:rPr>
          <w:rFonts w:hint="eastAsia"/>
          <w:sz w:val="28"/>
          <w:szCs w:val="28"/>
          <w:lang w:val="en-US" w:eastAsia="zh-CN"/>
        </w:rPr>
        <w:t>2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全国优秀农民工报审表</w:t>
      </w:r>
    </w:p>
    <w:tbl>
      <w:tblPr>
        <w:tblStyle w:val="3"/>
        <w:tblW w:w="10348" w:type="dxa"/>
        <w:tblInd w:w="-8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2"/>
        <w:gridCol w:w="1296"/>
        <w:gridCol w:w="1277"/>
        <w:gridCol w:w="925"/>
        <w:gridCol w:w="1492"/>
        <w:gridCol w:w="1005"/>
        <w:gridCol w:w="25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许木顺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男</w:t>
            </w:r>
          </w:p>
        </w:tc>
        <w:tc>
          <w:tcPr>
            <w:tcW w:w="14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民族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汉族</w:t>
            </w:r>
          </w:p>
        </w:tc>
        <w:tc>
          <w:tcPr>
            <w:tcW w:w="2591" w:type="dxa"/>
            <w:vMerge w:val="restart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196850</wp:posOffset>
                  </wp:positionH>
                  <wp:positionV relativeFrom="paragraph">
                    <wp:posOffset>43815</wp:posOffset>
                  </wp:positionV>
                  <wp:extent cx="1152525" cy="1681480"/>
                  <wp:effectExtent l="0" t="0" r="5715" b="10160"/>
                  <wp:wrapNone/>
                  <wp:docPr id="1038" name="图片 2" descr="图片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" name="图片 2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1681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1987.5.20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文化程度</w:t>
            </w: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中专</w:t>
            </w:r>
          </w:p>
        </w:tc>
        <w:tc>
          <w:tcPr>
            <w:tcW w:w="14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群众</w:t>
            </w:r>
          </w:p>
        </w:tc>
        <w:tc>
          <w:tcPr>
            <w:tcW w:w="2591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户籍地</w:t>
            </w:r>
          </w:p>
        </w:tc>
        <w:tc>
          <w:tcPr>
            <w:tcW w:w="5995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山东省德州市临邑县恒源街道办事处</w:t>
            </w:r>
          </w:p>
        </w:tc>
        <w:tc>
          <w:tcPr>
            <w:tcW w:w="2591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5995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山东海科化工有限公司</w:t>
            </w:r>
          </w:p>
        </w:tc>
        <w:tc>
          <w:tcPr>
            <w:tcW w:w="2591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5995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13706368121</w:t>
            </w:r>
          </w:p>
        </w:tc>
        <w:tc>
          <w:tcPr>
            <w:tcW w:w="2591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7" w:hRule="atLeast"/>
        </w:trPr>
        <w:tc>
          <w:tcPr>
            <w:tcW w:w="1762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先进事迹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（可加页）</w:t>
            </w:r>
          </w:p>
        </w:tc>
        <w:tc>
          <w:tcPr>
            <w:tcW w:w="8586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负责公司动设备的维护、维修工作。在岗期间努力学习各类动设备的维修、维护知识，熟练掌握各类设备的检、维修作业规程。在公司推行的杜邦安全改善项目中，结合实际现场工作经验编写完成标准维修作业程序18项，涵盖现场所有重点维修工作；编制部门预防性维修管理规定，规范了部门预防性维修工作，为部门安全改善项目推行提供保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2011年度和2012年度荣获海科集团“优秀员工”称号；2013年度荣获海科集团“优秀共青团员”称号；2016年7月荣获“安全管理改善项目标兵”称号。2010年9月海科集团第四届职工技能大赛二等奖；2013年7月海科集团第五届技能大赛第一名，荣获“首席技师”称号；2013年9月东营市第八届职工技能竞赛三等奖；2013年11月第三届黄河口职业技能竞赛三等奖；2016年9月山东省第二届“技能兴鲁”职业技能大赛三等奖等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立足岗位、以身作则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工作中任劳任怨，脚踏实地做好本职工作。在岗期间先后经历了7次装置检修工作，负责完成3次装置的大检修任务。负责完成20余台压缩机组，近千台机泵检修作业任务。面临检修期间工期紧、任务重情况，加班对检修计划进行梳理，确定每一台设备的检修时间节点，制定检修流程，确定检修人员，从而高效的完成每一次检修任务。确保装置的按时开工。积极参与新装置的建设工作。2014年柴油改质和甲醇制氢装置的建设过程中，积极配合动设备的现场安装工作，对不符合规范和现场条件的进行协调整改，加班加点完成设备的调试和验收工作，确保装置一次性开车成功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勇于挑战、不断地提升个人能力。公司推行的智能巡点检工作中，负责部门内智能巡检推行工作，针对不同专业的现状积极协调沟通，从巡检线路的制定，设备的划分，巡检项编制等每一项内容，一一与现场进行核对，24条巡检线路，1000余台设备，通过与巡检人员的沟通和现场一次一次的核对，修正，确保了设备信息的准确无误，保证了智能巡检的有序推行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参加杜邦安全培训，学习先进管理工具。积极配合部门安全改善项目的推行，负责并完成专业内标准维修作业程序的编写工作，完成维修作业程序18项，涵盖现场主要维修作业内容，规范了现场维修作业标准。</w:t>
            </w:r>
          </w:p>
          <w:p>
            <w:pPr>
              <w:autoSpaceDN w:val="0"/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二、探索实践、创新发展</w:t>
            </w:r>
          </w:p>
          <w:p>
            <w:pPr>
              <w:autoSpaceDN w:val="0"/>
              <w:spacing w:line="360" w:lineRule="auto"/>
              <w:ind w:firstLine="64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设备的运行由于现场工况的限制，使用中和设计理论千差万别。他作为维修人员不断的积累数据、总结经验。针对焦化装置富气压缩机活塞环使用寿命短的问题进行讨论研究，对压缩机的气缸和填料加注润滑油，以降低活塞环与气缸的摩擦环境，从而提高活塞环的使用寿命，降低设备的维修成本。</w:t>
            </w:r>
          </w:p>
          <w:p>
            <w:pPr>
              <w:autoSpaceDN w:val="0"/>
              <w:spacing w:line="360" w:lineRule="auto"/>
              <w:ind w:firstLine="64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2016年气分机泵改造后出现机封频繁泄露问题。针对液化气泵机封频繁泄露，异常磨损进行分析改造，发现机封运行中产生的热量无法有效的散去，造成机封过热，异常磨损泄露。通过现场分析判断机封的冲洗存在问题，对机封冲洗孔进行调整改造，确保了机封的正常使用。</w:t>
            </w:r>
          </w:p>
          <w:p>
            <w:pPr>
              <w:autoSpaceDN w:val="0"/>
              <w:spacing w:line="360" w:lineRule="auto"/>
              <w:ind w:firstLine="64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设备是整个装置运行的心脏，设备的安全运行是保证装置的平稳生产的保障。学习振动分析原理，频谱状态特性，并对装置振动超标动设备的进行精密分析，将振动频谱通过速度谱，加速度谱、解调谱综合分析判断处理装置振动异常设备50余台。</w:t>
            </w:r>
          </w:p>
          <w:p>
            <w:pPr>
              <w:numPr>
                <w:ilvl w:val="0"/>
                <w:numId w:val="0"/>
              </w:numPr>
              <w:autoSpaceDN w:val="0"/>
              <w:spacing w:line="360" w:lineRule="auto"/>
              <w:ind w:leftChars="0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三、无私奉献、传道受业</w:t>
            </w:r>
          </w:p>
          <w:p>
            <w:pPr>
              <w:numPr>
                <w:ilvl w:val="0"/>
                <w:numId w:val="0"/>
              </w:numPr>
              <w:autoSpaceDN w:val="0"/>
              <w:spacing w:line="360" w:lineRule="auto"/>
              <w:ind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积极响应公司号召，做好岗位的“传、帮、带”工作。积极加入公司内训师队伍，完成公司级授课2次，涉及人数200余人次。主动认领公司设备模块课件开发工作。完成公司级课件开发6篇，部门级专业课件10篇。积极组织岗位专业技能和专业器具的培训工作中，提高员工的技能水平。组织完成部门内部精密点检仪和激光对中仪的培训，共计培训40人次，均达到熟练掌握仪器的使用水平。</w:t>
            </w:r>
          </w:p>
          <w:p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负责部门实训室的建设工作，组织建立机修实训室，为员工提供良好的培训场所，将现场设备的旧零部件进行清理，放置于实训室，使培训和现场进行有效结合，实现边培训、边操作，使培训做到更生动、有效。减少新员工对现场的适应时间。实训室建立以来共计完成员工培训140余人次，举行部门级技术竞赛3次。利用实训室场地资源，组织实施专业技能比武活动，营造“比 学 赶 帮 超”的学习氛围，赛出成果，赛出水平。</w:t>
            </w:r>
          </w:p>
          <w:p>
            <w:pPr>
              <w:numPr>
                <w:ilvl w:val="0"/>
                <w:numId w:val="0"/>
              </w:numPr>
              <w:autoSpaceDN w:val="0"/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四、卓越运营、勇攀高峰</w:t>
            </w:r>
          </w:p>
          <w:p>
            <w:pPr>
              <w:autoSpaceDN w:val="0"/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自卓越运营醒目开展以来，他深入装置内部，逐级排查卓越运营机会点，梳理设备运行状况。目前完成卓越运营立项实施项目1项，已通过讨论项目1项，年节约成本15万元。参与实施卓越运营项目1项，年节约成本20万元。</w:t>
            </w:r>
          </w:p>
          <w:p>
            <w:pPr>
              <w:autoSpaceDN w:val="0"/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参加公司精益六西格玛带级人才培训。参与部门绿带项目，降低海科公司动设备备件年消耗费用，预计降低设备配件消耗费用72万元。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2" w:hRule="atLeast"/>
        </w:trPr>
        <w:tc>
          <w:tcPr>
            <w:tcW w:w="176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省级评选表彰机构推荐意见</w:t>
            </w:r>
          </w:p>
        </w:tc>
        <w:tc>
          <w:tcPr>
            <w:tcW w:w="8586" w:type="dxa"/>
            <w:gridSpan w:val="6"/>
            <w:vAlign w:val="bottom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（省、区、市农民工工作议事协调机构代章）</w:t>
            </w:r>
          </w:p>
          <w:p>
            <w:pPr>
              <w:wordWrap w:val="0"/>
              <w:jc w:val="right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    年    月    日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0" w:hRule="atLeast"/>
        </w:trPr>
        <w:tc>
          <w:tcPr>
            <w:tcW w:w="176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全国评选表彰委员会审核意见</w:t>
            </w:r>
          </w:p>
        </w:tc>
        <w:tc>
          <w:tcPr>
            <w:tcW w:w="8586" w:type="dxa"/>
            <w:gridSpan w:val="6"/>
            <w:vAlign w:val="bottom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（国务院农民工工作领导小组办公室代章）</w:t>
            </w:r>
          </w:p>
          <w:p>
            <w:pPr>
              <w:wordWrap w:val="0"/>
              <w:jc w:val="right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    年    月    日       </w:t>
            </w:r>
          </w:p>
        </w:tc>
      </w:tr>
    </w:tbl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4F27E"/>
    <w:multiLevelType w:val="singleLevel"/>
    <w:tmpl w:val="2BF4F27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B3A7F44"/>
    <w:multiLevelType w:val="singleLevel"/>
    <w:tmpl w:val="6B3A7F4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F667D"/>
    <w:rsid w:val="0E0E2624"/>
    <w:rsid w:val="0FF02DFA"/>
    <w:rsid w:val="153A70A6"/>
    <w:rsid w:val="1BD54A8C"/>
    <w:rsid w:val="4D6D411A"/>
    <w:rsid w:val="58BD4994"/>
    <w:rsid w:val="5EEF667D"/>
    <w:rsid w:val="66C3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2020-09-29T01:05:00Z</dcterms:created>
  <dc:creator>Administrator</dc:creator>
  <cp:lastModifiedBy>xj</cp:lastModifiedBy>
  <dcterms:modified xsi:type="dcterms:W3CDTF">2020-10-13T07:36:31Z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